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E6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22F26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第8节  电容器 电容</w:t>
      </w:r>
    </w:p>
    <w:p w14:paraId="2329A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电容器的电容</w:t>
      </w:r>
    </w:p>
    <w:p w14:paraId="312F8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1.电容器</w:t>
      </w:r>
    </w:p>
    <w:p w14:paraId="3F470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（1）定义：储存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的元件。</w:t>
      </w:r>
    </w:p>
    <w:p w14:paraId="31599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（2）组成：两个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彼此绝缘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又相互靠近的导体。</w:t>
      </w:r>
    </w:p>
    <w:p w14:paraId="13F9C42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带电荷量：一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块</w:t>
      </w:r>
      <w:r>
        <w:rPr>
          <w:rFonts w:ascii="Times New Roman" w:hAnsi="Times New Roman" w:cs="Times New Roman"/>
          <w:sz w:val="21"/>
          <w:szCs w:val="21"/>
        </w:rPr>
        <w:t>极板所带电荷量的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绝对值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7CB49BE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电容器的充、放电</w:t>
      </w:r>
    </w:p>
    <w:p w14:paraId="34A11DE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充电：使电容器带电的过程，充电后电容器两极板带上等量的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异种电荷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，电容器中储存电场能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AA23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放电：使充电后的电容器失去电荷的过程，放电过程中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电场能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转化为其他形式的能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E778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2.电容器的电容</w:t>
      </w:r>
    </w:p>
    <w:p w14:paraId="0C09E61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定义：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描述电容器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储存电荷能力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的物理量</w:t>
      </w:r>
      <w:r>
        <w:rPr>
          <w:rFonts w:hint="eastAsia" w:ascii="Times New Roman" w:hAnsi="Times New Roman" w:cs="Times New Roman"/>
          <w:sz w:val="21"/>
          <w:szCs w:val="21"/>
        </w:rPr>
        <w:t>叫作电容器的电容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简称电容，</w:t>
      </w:r>
      <w:r>
        <w:rPr>
          <w:rFonts w:hint="eastAsia" w:ascii="Times New Roman" w:hAnsi="Times New Roman" w:cs="Times New Roman"/>
          <w:sz w:val="21"/>
          <w:szCs w:val="21"/>
        </w:rPr>
        <w:t>用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表示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009422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center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定义式：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object>
          <v:shape id="_x0000_i1068" o:spt="75" type="#_x0000_t75" style="height:31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68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629E82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单位：法拉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（F）</w:t>
      </w:r>
      <w:r>
        <w:rPr>
          <w:rFonts w:ascii="Times New Roman" w:hAnsi="Times New Roman" w:cs="Times New Roman"/>
          <w:sz w:val="21"/>
          <w:szCs w:val="21"/>
        </w:rPr>
        <w:t>、微法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μF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、皮法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pF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）。</w:t>
      </w:r>
      <w:r>
        <w:rPr>
          <w:rFonts w:ascii="Times New Roman" w:hAnsi="Times New Roman" w:cs="Times New Roman"/>
          <w:sz w:val="21"/>
          <w:szCs w:val="21"/>
        </w:rPr>
        <w:t>1 F＝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10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  <w:vertAlign w:val="superscript"/>
        </w:rPr>
        <w:t>6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vertAlign w:val="superscript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μF＝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10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  <w:vertAlign w:val="superscript"/>
        </w:rPr>
        <w:t>12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pF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814366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决定因素：由电容器本身物理条件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大小、形状、极板相对位置及电介质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决定，与电容器是否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带电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及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电压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无关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093E25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平行板电容器的电容</w:t>
      </w:r>
    </w:p>
    <w:p w14:paraId="5402054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决定因素：</w:t>
      </w:r>
      <w:r>
        <w:rPr>
          <w:rFonts w:hint="eastAsia" w:ascii="Times New Roman" w:hAnsi="Times New Roman" w:cs="Times New Roman"/>
          <w:sz w:val="21"/>
          <w:szCs w:val="21"/>
        </w:rPr>
        <w:t>平行板电容器的电容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与相对介电常数</w:t>
      </w:r>
      <w:r>
        <w:rPr>
          <w:rFonts w:hint="eastAsia" w:ascii="Times New Roman" w:hAnsi="Times New Roman" w:cs="Times New Roman"/>
          <w:position w:val="-10"/>
          <w:sz w:val="21"/>
          <w:szCs w:val="21"/>
        </w:rPr>
        <w:object>
          <v:shape id="_x0000_i1069" o:spt="75" type="#_x0000_t75" style="height:17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69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</w:rPr>
        <w:t>成正比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跟正对面积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S</w:t>
      </w:r>
      <w:r>
        <w:rPr>
          <w:rFonts w:hint="eastAsia" w:ascii="Times New Roman" w:hAnsi="Times New Roman" w:cs="Times New Roman"/>
          <w:sz w:val="21"/>
          <w:szCs w:val="21"/>
        </w:rPr>
        <w:t>成正比，跟极板间的距离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d</w:t>
      </w:r>
      <w:r>
        <w:rPr>
          <w:rFonts w:hint="eastAsia" w:ascii="Times New Roman" w:hAnsi="Times New Roman" w:cs="Times New Roman"/>
          <w:sz w:val="21"/>
          <w:szCs w:val="21"/>
        </w:rPr>
        <w:t>成反比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5BE6949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default" w:ascii="Times New Roman" w:hAnsi="Times New Roman" w:cs="Times New Roman" w:eastAsiaTheme="minorEastAsia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决定式：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70" o:spt="75" type="#_x0000_t75" style="height:31pt;width:5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70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 w14:paraId="7132C3D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ascii="Times New Roman" w:hAnsi="Times New Roman" w:cs="Times New Roman"/>
          <w:b/>
          <w:bCs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4.平行板电容器的动态分析</w:t>
      </w:r>
    </w:p>
    <w:p w14:paraId="15F2AED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sz w:val="21"/>
          <w:szCs w:val="21"/>
        </w:rPr>
        <w:t>电容器始终与恒压电源相连，电容器两极板间的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电势差</w:t>
      </w:r>
      <w:r>
        <w:rPr>
          <w:rFonts w:ascii="Times New Roman" w:hAnsi="Times New Roman" w:cs="Times New Roman"/>
          <w:i/>
          <w:color w:val="FF0000"/>
          <w:sz w:val="21"/>
          <w:szCs w:val="21"/>
          <w:u w:val="single"/>
        </w:rPr>
        <w:t>U</w:t>
      </w:r>
      <w:r>
        <w:rPr>
          <w:rFonts w:hint="eastAsia" w:ascii="Times New Roman" w:hAnsi="Times New Roman" w:cs="Times New Roman"/>
          <w:i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保持不变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FFA1B2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center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object>
          <v:shape id="_x0000_i1071" o:spt="75" type="#_x0000_t75" style="height:31pt;width:5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71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先分析电容的变化，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根据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object>
          <v:shape id="_x0000_i1072" o:spt="75" type="#_x0000_t75" style="height:31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72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再分析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的变化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662F5B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分析场强的变化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7DBA52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ascii="Times New Roman" w:hAnsi="Times New Roman" w:cs="Times New Roman"/>
          <w:i/>
          <w:sz w:val="21"/>
          <w:szCs w:val="21"/>
        </w:rPr>
        <w:t>U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·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分析某点电势变化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DCA045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drawing>
          <wp:inline distT="0" distB="0" distL="114300" distR="114300">
            <wp:extent cx="2213610" cy="453390"/>
            <wp:effectExtent l="0" t="0" r="15240" b="3810"/>
            <wp:docPr id="7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D7771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t>电容器充电后与电源断开，电容器两极板所带的电荷量</w:t>
      </w:r>
      <w:r>
        <w:rPr>
          <w:rFonts w:ascii="Times New Roman" w:hAnsi="Times New Roman" w:cs="Times New Roman"/>
          <w:i/>
          <w:sz w:val="21"/>
          <w:szCs w:val="21"/>
        </w:rPr>
        <w:t>Q</w:t>
      </w:r>
      <w:r>
        <w:rPr>
          <w:rFonts w:ascii="Times New Roman" w:hAnsi="Times New Roman" w:cs="Times New Roman"/>
          <w:sz w:val="21"/>
          <w:szCs w:val="21"/>
        </w:rPr>
        <w:t>保持不变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6FCA2E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center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object>
          <v:shape id="_x0000_i1073" o:spt="75" type="#_x0000_t75" style="height:31pt;width:5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73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先分析电容的变化，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根据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object>
          <v:shape id="_x0000_i1074" o:spt="75" type="#_x0000_t75" style="height:31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74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再分析</w:t>
      </w:r>
      <w:r>
        <w:rPr>
          <w:rFonts w:ascii="Times New Roman" w:hAnsi="Times New Roman" w:cs="Times New Roman"/>
          <w:i/>
          <w:sz w:val="21"/>
          <w:szCs w:val="21"/>
        </w:rPr>
        <w:t>U</w:t>
      </w:r>
      <w:r>
        <w:rPr>
          <w:rFonts w:ascii="Times New Roman" w:hAnsi="Times New Roman" w:cs="Times New Roman"/>
          <w:sz w:val="21"/>
          <w:szCs w:val="21"/>
        </w:rPr>
        <w:t>的变化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DFF030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根据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\f(4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k</w:instrText>
      </w:r>
      <w:r>
        <w:rPr>
          <w:rFonts w:ascii="Times New Roman" w:hAnsi="Times New Roman" w:cs="Times New Roman"/>
          <w:sz w:val="21"/>
          <w:szCs w:val="21"/>
        </w:rPr>
        <w:instrText xml:space="preserve">π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Q,ε</w:instrText>
      </w:r>
      <w:r>
        <w:rPr>
          <w:rFonts w:ascii="Times New Roman" w:hAnsi="Times New Roman" w:cs="Times New Roman"/>
          <w:sz w:val="21"/>
          <w:szCs w:val="21"/>
          <w:vertAlign w:val="subscript"/>
        </w:rPr>
        <w:instrText xml:space="preserve">r</w:instrText>
      </w:r>
      <w:r>
        <w:rPr>
          <w:rFonts w:ascii="Times New Roman" w:hAnsi="Times New Roman" w:cs="Times New Roman"/>
          <w:i/>
          <w:sz w:val="21"/>
          <w:szCs w:val="21"/>
        </w:rPr>
        <w:instrText xml:space="preserve">S</w:instrText>
      </w:r>
      <w:r>
        <w:rPr>
          <w:rFonts w:ascii="Times New Roman" w:hAnsi="Times New Roman" w:cs="Times New Roman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分析场强变化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39B42CA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1602105</wp:posOffset>
            </wp:positionH>
            <wp:positionV relativeFrom="paragraph">
              <wp:posOffset>110490</wp:posOffset>
            </wp:positionV>
            <wp:extent cx="1788160" cy="708660"/>
            <wp:effectExtent l="0" t="0" r="2540" b="15240"/>
            <wp:wrapSquare wrapText="bothSides"/>
            <wp:docPr id="7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493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D74A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35245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1786A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422F0B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判断</w:t>
      </w:r>
    </w:p>
    <w:p w14:paraId="25101C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1.电容表示电容器容纳电荷的多少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567C8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2.电容器的电容与电容器所带电荷量成正比，跟它两极板间所加电压成反比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E6C5A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3.电容器所带的电荷量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是指一个极板所带电荷量的绝对值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 </w:t>
      </w:r>
    </w:p>
    <w:p w14:paraId="1F3DE4E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0D0295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73F277E3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多选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平行板电容器的两极板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接于电池两极，一个带正电小球悬挂在电容器内部，闭合开关S，电容器充电，稳定后悬线偏离竖直方向夹角为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，如图所示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</w:rPr>
        <w:t>那么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</w:rPr>
        <w:t>AD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45083709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1833245</wp:posOffset>
            </wp:positionH>
            <wp:positionV relativeFrom="paragraph">
              <wp:posOffset>140335</wp:posOffset>
            </wp:positionV>
            <wp:extent cx="1074420" cy="1003300"/>
            <wp:effectExtent l="0" t="0" r="11430" b="6350"/>
            <wp:wrapSquare wrapText="bothSides"/>
            <wp:docPr id="7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1ECBD1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7DCE0B7F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6D9F6D4A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0BFBF7C6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756AE6C7">
      <w:pPr>
        <w:pStyle w:val="2"/>
        <w:widowControl w:val="0"/>
        <w:numPr>
          <w:ilvl w:val="0"/>
          <w:numId w:val="0"/>
        </w:numPr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</w:p>
    <w:p w14:paraId="59EBBC4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A．保持开关S闭合，带正电的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增大</w:t>
      </w:r>
    </w:p>
    <w:p w14:paraId="584B943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B．保持开关S闭合，带正电的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不变</w:t>
      </w:r>
    </w:p>
    <w:p w14:paraId="748D1DB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C．开关S断开，带正电的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增大</w:t>
      </w:r>
    </w:p>
    <w:p w14:paraId="067A23D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D．开关S断开，带正电的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板向</w:t>
      </w:r>
      <w:r>
        <w:rPr>
          <w:rFonts w:ascii="Times New Roman" w:hAnsi="Times New Roman" w:cs="Times New Roman"/>
          <w:i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sz w:val="21"/>
          <w:szCs w:val="21"/>
        </w:rPr>
        <w:t>θ</w:t>
      </w:r>
      <w:r>
        <w:rPr>
          <w:rFonts w:ascii="Times New Roman" w:hAnsi="Times New Roman" w:cs="Times New Roman"/>
          <w:sz w:val="21"/>
          <w:szCs w:val="21"/>
        </w:rPr>
        <w:t>不变</w:t>
      </w:r>
    </w:p>
    <w:p w14:paraId="048BF46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  <w:color w:val="FF0000"/>
          <w:sz w:val="21"/>
          <w:szCs w:val="21"/>
          <w:u w:val="single"/>
        </w:rPr>
      </w:pP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AD</w:t>
      </w:r>
    </w:p>
    <w:p w14:paraId="32B2D6D9">
      <w:pPr>
        <w:spacing w:line="360" w:lineRule="auto"/>
        <w:jc w:val="left"/>
        <w:rPr>
          <w:rFonts w:hint="eastAsia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【解析】保持开关S闭合，电容器两端的电势差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U</w:t>
      </w:r>
      <w:r>
        <w:rPr>
          <w:rFonts w:ascii="Times New Roman" w:hAnsi="Times New Roman" w:cs="Times New Roman"/>
          <w:color w:val="FF0000"/>
          <w:sz w:val="21"/>
          <w:szCs w:val="21"/>
        </w:rPr>
        <w:t>不变，带正电的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color w:val="FF0000"/>
          <w:sz w:val="21"/>
          <w:szCs w:val="21"/>
        </w:rPr>
        <w:t>板向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B</w:t>
      </w:r>
      <w:r>
        <w:rPr>
          <w:rFonts w:ascii="Times New Roman" w:hAnsi="Times New Roman" w:cs="Times New Roman"/>
          <w:color w:val="FF0000"/>
          <w:sz w:val="21"/>
          <w:szCs w:val="21"/>
        </w:rPr>
        <w:t>板靠近，极板间距离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d</w:t>
      </w:r>
      <w:r>
        <w:rPr>
          <w:rFonts w:ascii="Times New Roman" w:hAnsi="Times New Roman" w:cs="Times New Roman"/>
          <w:color w:val="FF0000"/>
          <w:sz w:val="21"/>
          <w:szCs w:val="21"/>
        </w:rPr>
        <w:t>减小，电场强度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增大，小球所受的静电力变大，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θ</w:t>
      </w:r>
      <w:r>
        <w:rPr>
          <w:rFonts w:ascii="Times New Roman" w:hAnsi="Times New Roman" w:cs="Times New Roman"/>
          <w:color w:val="FF0000"/>
          <w:sz w:val="21"/>
          <w:szCs w:val="21"/>
        </w:rPr>
        <w:t>增大，故A正确，B错误；断开开关S，电容器所带的电荷量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Q</w:t>
      </w:r>
      <w:r>
        <w:rPr>
          <w:rFonts w:ascii="Times New Roman" w:hAnsi="Times New Roman" w:cs="Times New Roman"/>
          <w:color w:val="FF0000"/>
          <w:sz w:val="21"/>
          <w:szCs w:val="21"/>
        </w:rPr>
        <w:t>不变，由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Q,U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ε</w:instrTex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instrText xml:space="preserve">r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S,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4π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kd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得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Q,Cd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\f(4π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kQ,ε</w:instrTex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instrText xml:space="preserve">r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S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，知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d</w:t>
      </w:r>
      <w:r>
        <w:rPr>
          <w:rFonts w:ascii="Times New Roman" w:hAnsi="Times New Roman" w:cs="Times New Roman"/>
          <w:color w:val="FF0000"/>
          <w:sz w:val="21"/>
          <w:szCs w:val="21"/>
        </w:rPr>
        <w:t>变化，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不变，小球所受静电力不变，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θ</w:t>
      </w:r>
      <w:r>
        <w:rPr>
          <w:rFonts w:ascii="Times New Roman" w:hAnsi="Times New Roman" w:cs="Times New Roman"/>
          <w:color w:val="FF0000"/>
          <w:sz w:val="21"/>
          <w:szCs w:val="21"/>
        </w:rPr>
        <w:t>不变，故C错误，D正确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。</w:t>
      </w:r>
    </w:p>
    <w:p w14:paraId="422C5E80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9E628"/>
    <w:multiLevelType w:val="singleLevel"/>
    <w:tmpl w:val="AEE9E62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240C73"/>
    <w:rsid w:val="1ADF35A4"/>
    <w:rsid w:val="1F192994"/>
    <w:rsid w:val="2074194C"/>
    <w:rsid w:val="21733A6D"/>
    <w:rsid w:val="256B4972"/>
    <w:rsid w:val="30E57BC8"/>
    <w:rsid w:val="31837ABD"/>
    <w:rsid w:val="37BB437D"/>
    <w:rsid w:val="3A091644"/>
    <w:rsid w:val="3ED734A6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AC40451"/>
    <w:rsid w:val="78C86137"/>
    <w:rsid w:val="79F05B90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png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255F9BE4206B4FFD9EC9547D1CBCA488_13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